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C4" w:rsidRPr="00422884" w:rsidRDefault="004319C4" w:rsidP="004319C4">
      <w:pPr>
        <w:spacing w:after="0" w:line="360" w:lineRule="auto"/>
        <w:jc w:val="both"/>
        <w:rPr>
          <w:rFonts w:ascii="Palatino Linotype" w:hAnsi="Palatino Linotype"/>
          <w:b/>
          <w:sz w:val="23"/>
          <w:szCs w:val="23"/>
        </w:rPr>
      </w:pPr>
      <w:r w:rsidRPr="00422884">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 xml:space="preserve">TRIGÉSIMA PRIMER </w:t>
      </w:r>
      <w:r w:rsidRPr="00422884">
        <w:rPr>
          <w:rFonts w:ascii="Palatino Linotype" w:hAnsi="Palatino Linotype"/>
          <w:b/>
          <w:sz w:val="23"/>
          <w:szCs w:val="23"/>
        </w:rPr>
        <w:t xml:space="preserve">SESIÓN ORDINARIA DEL </w:t>
      </w:r>
      <w:r>
        <w:rPr>
          <w:rFonts w:ascii="Palatino Linotype" w:hAnsi="Palatino Linotype"/>
          <w:b/>
          <w:sz w:val="23"/>
          <w:szCs w:val="23"/>
        </w:rPr>
        <w:t xml:space="preserve">VEINTINUEVE DE AGOSTO </w:t>
      </w:r>
      <w:r w:rsidRPr="00422884">
        <w:rPr>
          <w:rFonts w:ascii="Palatino Linotype" w:hAnsi="Palatino Linotype"/>
          <w:b/>
          <w:sz w:val="23"/>
          <w:szCs w:val="23"/>
        </w:rPr>
        <w:t>DE DOS MIL DIECIOCHO, EN EL RECURSO DE REVISIÓN 0</w:t>
      </w:r>
      <w:r>
        <w:rPr>
          <w:rFonts w:ascii="Palatino Linotype" w:hAnsi="Palatino Linotype"/>
          <w:b/>
          <w:sz w:val="23"/>
          <w:szCs w:val="23"/>
        </w:rPr>
        <w:t>2606</w:t>
      </w:r>
      <w:r w:rsidRPr="00422884">
        <w:rPr>
          <w:rFonts w:ascii="Palatino Linotype" w:hAnsi="Palatino Linotype"/>
          <w:b/>
          <w:sz w:val="23"/>
          <w:szCs w:val="23"/>
        </w:rPr>
        <w:t>/INFOEM/IP/RR/2018.</w:t>
      </w:r>
    </w:p>
    <w:p w:rsidR="004319C4" w:rsidRPr="00422884" w:rsidRDefault="004319C4" w:rsidP="004319C4">
      <w:pPr>
        <w:spacing w:after="0" w:line="240" w:lineRule="auto"/>
        <w:jc w:val="both"/>
        <w:rPr>
          <w:rFonts w:ascii="Palatino Linotype" w:hAnsi="Palatino Linotype"/>
          <w:b/>
          <w:sz w:val="23"/>
          <w:szCs w:val="23"/>
        </w:rPr>
      </w:pPr>
    </w:p>
    <w:p w:rsidR="004319C4" w:rsidRPr="00422884" w:rsidRDefault="004319C4" w:rsidP="004319C4">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422884">
        <w:rPr>
          <w:rFonts w:ascii="Palatino Linotype" w:hAnsi="Palatino Linotype"/>
          <w:b/>
          <w:sz w:val="23"/>
          <w:szCs w:val="23"/>
        </w:rPr>
        <w:t xml:space="preserve">VOTO PARTICULAR </w:t>
      </w:r>
      <w:r w:rsidRPr="00422884">
        <w:rPr>
          <w:rFonts w:ascii="Palatino Linotype" w:hAnsi="Palatino Linotype"/>
          <w:sz w:val="23"/>
          <w:szCs w:val="23"/>
        </w:rPr>
        <w:t>respecto a la resolución dictada en el recurso de revisión número 0</w:t>
      </w:r>
      <w:r>
        <w:rPr>
          <w:rFonts w:ascii="Palatino Linotype" w:hAnsi="Palatino Linotype"/>
          <w:sz w:val="23"/>
          <w:szCs w:val="23"/>
        </w:rPr>
        <w:t>2</w:t>
      </w:r>
      <w:r w:rsidR="00B262FA">
        <w:rPr>
          <w:rFonts w:ascii="Palatino Linotype" w:hAnsi="Palatino Linotype"/>
          <w:sz w:val="23"/>
          <w:szCs w:val="23"/>
        </w:rPr>
        <w:t>606</w:t>
      </w:r>
      <w:r w:rsidRPr="00422884">
        <w:rPr>
          <w:rFonts w:ascii="Palatino Linotype" w:hAnsi="Palatino Linotype"/>
          <w:sz w:val="23"/>
          <w:szCs w:val="23"/>
        </w:rPr>
        <w:t>/INFOEM/IP/RR/2018, pronunciada por el Pleno de este Instituto a</w:t>
      </w:r>
      <w:r>
        <w:rPr>
          <w:rFonts w:ascii="Palatino Linotype" w:hAnsi="Palatino Linotype"/>
          <w:sz w:val="23"/>
          <w:szCs w:val="23"/>
        </w:rPr>
        <w:t xml:space="preserve">nte el proyecto presentado por </w:t>
      </w:r>
      <w:r w:rsidRPr="00422884">
        <w:rPr>
          <w:rFonts w:ascii="Palatino Linotype" w:hAnsi="Palatino Linotype"/>
          <w:sz w:val="23"/>
          <w:szCs w:val="23"/>
        </w:rPr>
        <w:t>l</w:t>
      </w:r>
      <w:r>
        <w:rPr>
          <w:rFonts w:ascii="Palatino Linotype" w:hAnsi="Palatino Linotype"/>
          <w:sz w:val="23"/>
          <w:szCs w:val="23"/>
        </w:rPr>
        <w:t>a Comisionada</w:t>
      </w:r>
      <w:r w:rsidRPr="00422884">
        <w:rPr>
          <w:rFonts w:ascii="Palatino Linotype" w:hAnsi="Palatino Linotype"/>
          <w:sz w:val="23"/>
          <w:szCs w:val="23"/>
        </w:rPr>
        <w:t xml:space="preserve"> </w:t>
      </w:r>
      <w:r w:rsidR="0099474E">
        <w:rPr>
          <w:rFonts w:ascii="Palatino Linotype" w:hAnsi="Palatino Linotype"/>
          <w:sz w:val="23"/>
          <w:szCs w:val="23"/>
        </w:rPr>
        <w:t>Eva Abaid Yapur</w:t>
      </w:r>
      <w:r w:rsidRPr="00422884">
        <w:rPr>
          <w:rFonts w:ascii="Palatino Linotype" w:hAnsi="Palatino Linotype"/>
          <w:sz w:val="23"/>
          <w:szCs w:val="23"/>
        </w:rPr>
        <w:t xml:space="preserve">. </w:t>
      </w:r>
    </w:p>
    <w:p w:rsidR="004319C4" w:rsidRPr="00422884" w:rsidRDefault="004319C4" w:rsidP="004319C4">
      <w:pPr>
        <w:spacing w:after="0" w:line="360" w:lineRule="auto"/>
        <w:jc w:val="both"/>
        <w:rPr>
          <w:rFonts w:ascii="Palatino Linotype" w:hAnsi="Palatino Linotype"/>
          <w:sz w:val="23"/>
          <w:szCs w:val="23"/>
        </w:rPr>
      </w:pPr>
      <w:r w:rsidRPr="00422884">
        <w:rPr>
          <w:rFonts w:ascii="Palatino Linotype" w:hAnsi="Palatino Linotype"/>
          <w:sz w:val="23"/>
          <w:szCs w:val="23"/>
        </w:rPr>
        <w:t>Antes de platear el punto sobre el cual versa el presente voto, es de suma importancia mencionar que el suscrito en términos generales coincide en el sentido de la resolución del recurso de revisión al rubro indicado,</w:t>
      </w:r>
      <w:r>
        <w:rPr>
          <w:rFonts w:ascii="Palatino Linotype" w:hAnsi="Palatino Linotype"/>
          <w:sz w:val="23"/>
          <w:szCs w:val="23"/>
        </w:rPr>
        <w:t xml:space="preserve"> no obstante, el vo</w:t>
      </w:r>
      <w:r w:rsidR="00B262FA">
        <w:rPr>
          <w:rFonts w:ascii="Palatino Linotype" w:hAnsi="Palatino Linotype"/>
          <w:sz w:val="23"/>
          <w:szCs w:val="23"/>
        </w:rPr>
        <w:t xml:space="preserve">to que emite el suscrito consta </w:t>
      </w:r>
      <w:r w:rsidRPr="00422884">
        <w:rPr>
          <w:rFonts w:ascii="Palatino Linotype" w:hAnsi="Palatino Linotype"/>
          <w:sz w:val="23"/>
          <w:szCs w:val="23"/>
        </w:rPr>
        <w:t>como a continuación se explica:</w:t>
      </w:r>
    </w:p>
    <w:p w:rsidR="004319C4" w:rsidRPr="00422884" w:rsidRDefault="004319C4" w:rsidP="004319C4">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En primer lugar debe precisarse que del análisis realizado </w:t>
      </w:r>
      <w:r>
        <w:rPr>
          <w:rFonts w:ascii="Palatino Linotype" w:hAnsi="Palatino Linotype"/>
          <w:sz w:val="23"/>
          <w:szCs w:val="23"/>
        </w:rPr>
        <w:t xml:space="preserve">a las constancias que integran </w:t>
      </w:r>
      <w:r w:rsidR="00B262FA">
        <w:rPr>
          <w:rFonts w:ascii="Palatino Linotype" w:hAnsi="Palatino Linotype"/>
          <w:sz w:val="23"/>
          <w:szCs w:val="23"/>
        </w:rPr>
        <w:t xml:space="preserve">el </w:t>
      </w:r>
      <w:r w:rsidRPr="00422884">
        <w:rPr>
          <w:rFonts w:ascii="Palatino Linotype" w:hAnsi="Palatino Linotype"/>
          <w:sz w:val="23"/>
          <w:szCs w:val="23"/>
        </w:rPr>
        <w:t>recurso de revisión al rubro anotado se advierte que la impetrante a través de la solicitud</w:t>
      </w:r>
      <w:r w:rsidR="00B262FA">
        <w:rPr>
          <w:rFonts w:ascii="Palatino Linotype" w:hAnsi="Palatino Linotype"/>
          <w:sz w:val="23"/>
          <w:szCs w:val="23"/>
        </w:rPr>
        <w:t xml:space="preserve"> </w:t>
      </w:r>
      <w:r w:rsidRPr="00422884">
        <w:rPr>
          <w:rFonts w:ascii="Palatino Linotype" w:hAnsi="Palatino Linotype"/>
          <w:sz w:val="23"/>
          <w:szCs w:val="23"/>
        </w:rPr>
        <w:t xml:space="preserve">número </w:t>
      </w:r>
      <w:r w:rsidR="00B262FA" w:rsidRPr="00B262FA">
        <w:rPr>
          <w:rFonts w:ascii="Palatino Linotype" w:hAnsi="Palatino Linotype"/>
          <w:b/>
          <w:bCs/>
          <w:sz w:val="23"/>
          <w:szCs w:val="23"/>
        </w:rPr>
        <w:t>00068/CEMYBS/IP/2018</w:t>
      </w:r>
      <w:r>
        <w:rPr>
          <w:rFonts w:ascii="Palatino Linotype" w:hAnsi="Palatino Linotype"/>
          <w:b/>
          <w:bCs/>
          <w:sz w:val="23"/>
          <w:szCs w:val="23"/>
          <w:lang w:val="es-ES"/>
        </w:rPr>
        <w:t xml:space="preserve"> </w:t>
      </w:r>
      <w:r w:rsidRPr="00422884">
        <w:rPr>
          <w:rFonts w:ascii="Palatino Linotype" w:hAnsi="Palatino Linotype"/>
          <w:sz w:val="23"/>
          <w:szCs w:val="23"/>
        </w:rPr>
        <w:t>requirió que se le entregara lo siguiente:</w:t>
      </w:r>
    </w:p>
    <w:p w:rsidR="004319C4" w:rsidRPr="00422884" w:rsidRDefault="004319C4" w:rsidP="004319C4">
      <w:pPr>
        <w:spacing w:after="0" w:line="360" w:lineRule="auto"/>
        <w:jc w:val="both"/>
        <w:rPr>
          <w:rFonts w:ascii="Palatino Linotype" w:hAnsi="Palatino Linotype"/>
          <w:sz w:val="24"/>
          <w:szCs w:val="24"/>
        </w:rPr>
      </w:pPr>
    </w:p>
    <w:p w:rsidR="004319C4" w:rsidRDefault="004319C4" w:rsidP="00B262FA">
      <w:pPr>
        <w:pStyle w:val="Prrafodelista"/>
        <w:spacing w:after="0" w:line="360" w:lineRule="auto"/>
        <w:jc w:val="both"/>
        <w:rPr>
          <w:rFonts w:ascii="Palatino Linotype" w:hAnsi="Palatino Linotype"/>
          <w:i/>
          <w:sz w:val="21"/>
          <w:szCs w:val="21"/>
          <w:lang w:val="es-ES_tradnl" w:eastAsia="es-MX"/>
        </w:rPr>
      </w:pPr>
      <w:r w:rsidRPr="00A472ED">
        <w:rPr>
          <w:rFonts w:ascii="Palatino Linotype" w:hAnsi="Palatino Linotype"/>
          <w:i/>
          <w:sz w:val="21"/>
          <w:szCs w:val="21"/>
          <w:lang w:val="es-ES_tradnl" w:eastAsia="es-MX"/>
        </w:rPr>
        <w:lastRenderedPageBreak/>
        <w:t>“</w:t>
      </w:r>
      <w:r w:rsidR="00B262FA" w:rsidRPr="00B262FA">
        <w:rPr>
          <w:rFonts w:ascii="Palatino Linotype" w:hAnsi="Palatino Linotype"/>
          <w:i/>
          <w:sz w:val="21"/>
          <w:szCs w:val="21"/>
          <w:lang w:eastAsia="es-MX"/>
        </w:rPr>
        <w:t>Se solicita diagnóstico del municipio de San Felipe del Progreso sobre las causas, la frecuencia y las consecuencias de la violencia contra las mujeres y niñas. Lo anterior con base en lo mandatado en el artículo 37, fracción IX de la Ley de Acceso de las Mujeres a una vida libre de Violencia del Estado de México</w:t>
      </w:r>
      <w:r w:rsidRPr="00A472ED">
        <w:rPr>
          <w:rFonts w:ascii="Palatino Linotype" w:hAnsi="Palatino Linotype"/>
          <w:i/>
          <w:sz w:val="21"/>
          <w:szCs w:val="21"/>
          <w:lang w:val="es-ES_tradnl" w:eastAsia="es-MX"/>
        </w:rPr>
        <w:t>” [Sic]</w:t>
      </w:r>
    </w:p>
    <w:p w:rsidR="004319C4" w:rsidRPr="00A472ED" w:rsidRDefault="004319C4" w:rsidP="004319C4">
      <w:pPr>
        <w:pStyle w:val="Prrafodelista"/>
        <w:spacing w:after="0" w:line="360" w:lineRule="auto"/>
        <w:jc w:val="both"/>
        <w:rPr>
          <w:rFonts w:ascii="Palatino Linotype" w:hAnsi="Palatino Linotype"/>
          <w:i/>
          <w:sz w:val="21"/>
          <w:szCs w:val="21"/>
          <w:lang w:val="es-ES_tradnl" w:eastAsia="es-MX"/>
        </w:rPr>
      </w:pPr>
      <w:r>
        <w:rPr>
          <w:rFonts w:ascii="Palatino Linotype" w:hAnsi="Palatino Linotype"/>
          <w:i/>
          <w:sz w:val="21"/>
          <w:szCs w:val="21"/>
          <w:lang w:val="es-ES_tradnl" w:eastAsia="es-MX"/>
        </w:rPr>
        <w:t>Énfasis añadido</w:t>
      </w:r>
    </w:p>
    <w:p w:rsidR="004319C4" w:rsidRPr="00422884" w:rsidRDefault="004319C4" w:rsidP="004319C4">
      <w:pPr>
        <w:spacing w:after="0" w:line="360" w:lineRule="auto"/>
        <w:jc w:val="both"/>
        <w:rPr>
          <w:rFonts w:ascii="Palatino Linotype" w:hAnsi="Palatino Linotype"/>
        </w:rPr>
      </w:pPr>
    </w:p>
    <w:p w:rsidR="004319C4" w:rsidRDefault="004319C4" w:rsidP="004319C4">
      <w:pPr>
        <w:spacing w:after="0" w:line="360" w:lineRule="auto"/>
        <w:jc w:val="both"/>
        <w:rPr>
          <w:rFonts w:ascii="Palatino Linotype" w:hAnsi="Palatino Linotype"/>
          <w:sz w:val="23"/>
          <w:szCs w:val="23"/>
        </w:rPr>
      </w:pPr>
      <w:r w:rsidRPr="00422884">
        <w:rPr>
          <w:rFonts w:ascii="Palatino Linotype" w:hAnsi="Palatino Linotype"/>
          <w:sz w:val="23"/>
          <w:szCs w:val="23"/>
        </w:rPr>
        <w:t xml:space="preserve">Por otra parte debe precisarse que </w:t>
      </w:r>
      <w:r>
        <w:rPr>
          <w:rFonts w:ascii="Palatino Linotype" w:hAnsi="Palatino Linotype"/>
          <w:sz w:val="23"/>
          <w:szCs w:val="23"/>
        </w:rPr>
        <w:t>el s</w:t>
      </w:r>
      <w:r w:rsidR="00B262FA">
        <w:rPr>
          <w:rFonts w:ascii="Palatino Linotype" w:hAnsi="Palatino Linotype"/>
          <w:sz w:val="23"/>
          <w:szCs w:val="23"/>
        </w:rPr>
        <w:t>ujeto Obligado emitió respuesta</w:t>
      </w:r>
      <w:r>
        <w:rPr>
          <w:rFonts w:ascii="Palatino Linotype" w:hAnsi="Palatino Linotype"/>
          <w:sz w:val="23"/>
          <w:szCs w:val="23"/>
        </w:rPr>
        <w:t xml:space="preserve"> </w:t>
      </w:r>
      <w:r w:rsidR="00B262FA">
        <w:rPr>
          <w:rFonts w:ascii="Palatino Linotype" w:hAnsi="Palatino Linotype"/>
          <w:sz w:val="23"/>
          <w:szCs w:val="23"/>
        </w:rPr>
        <w:t xml:space="preserve">en fecha once de julio de la anualidad en curso, manifestando en términos </w:t>
      </w:r>
      <w:r w:rsidR="0099474E">
        <w:rPr>
          <w:rFonts w:ascii="Palatino Linotype" w:hAnsi="Palatino Linotype"/>
          <w:sz w:val="23"/>
          <w:szCs w:val="23"/>
        </w:rPr>
        <w:t>generales a</w:t>
      </w:r>
      <w:r w:rsidR="00B262FA">
        <w:rPr>
          <w:rFonts w:ascii="Palatino Linotype" w:hAnsi="Palatino Linotype"/>
          <w:sz w:val="23"/>
          <w:szCs w:val="23"/>
        </w:rPr>
        <w:t xml:space="preserve"> través del oficio número CEMYBS/UT//068/2018 que no es posible entregarle la información solicitada</w:t>
      </w:r>
      <w:r w:rsidR="004505AE">
        <w:rPr>
          <w:rFonts w:ascii="Palatino Linotype" w:hAnsi="Palatino Linotype"/>
          <w:sz w:val="23"/>
          <w:szCs w:val="23"/>
        </w:rPr>
        <w:t>.</w:t>
      </w:r>
    </w:p>
    <w:p w:rsidR="004319C4" w:rsidRPr="005F3218" w:rsidRDefault="004319C4" w:rsidP="004319C4">
      <w:pPr>
        <w:spacing w:after="0" w:line="360" w:lineRule="auto"/>
        <w:jc w:val="both"/>
        <w:rPr>
          <w:rFonts w:ascii="Palatino Linotype" w:hAnsi="Palatino Linotype"/>
          <w:b/>
          <w:sz w:val="23"/>
          <w:szCs w:val="23"/>
          <w:u w:val="single"/>
        </w:rPr>
      </w:pPr>
    </w:p>
    <w:p w:rsidR="004319C4" w:rsidRPr="005F3218" w:rsidRDefault="004319C4" w:rsidP="004319C4">
      <w:pPr>
        <w:spacing w:after="0" w:line="360" w:lineRule="auto"/>
        <w:jc w:val="both"/>
        <w:rPr>
          <w:rFonts w:ascii="Palatino Linotype" w:hAnsi="Palatino Linotype"/>
          <w:sz w:val="23"/>
          <w:szCs w:val="23"/>
        </w:rPr>
      </w:pPr>
      <w:r w:rsidRPr="005F3218">
        <w:rPr>
          <w:rFonts w:ascii="Palatino Linotype" w:hAnsi="Palatino Linotype"/>
          <w:sz w:val="23"/>
          <w:szCs w:val="23"/>
        </w:rPr>
        <w:t>Al</w:t>
      </w:r>
      <w:r>
        <w:rPr>
          <w:rFonts w:ascii="Palatino Linotype" w:hAnsi="Palatino Linotype"/>
          <w:sz w:val="23"/>
          <w:szCs w:val="23"/>
        </w:rPr>
        <w:t xml:space="preserve"> estar inc</w:t>
      </w:r>
      <w:r w:rsidR="00B262FA">
        <w:rPr>
          <w:rFonts w:ascii="Palatino Linotype" w:hAnsi="Palatino Linotype"/>
          <w:sz w:val="23"/>
          <w:szCs w:val="23"/>
        </w:rPr>
        <w:t>onforme con la respuesta</w:t>
      </w:r>
      <w:r>
        <w:rPr>
          <w:rFonts w:ascii="Palatino Linotype" w:hAnsi="Palatino Linotype"/>
          <w:sz w:val="23"/>
          <w:szCs w:val="23"/>
        </w:rPr>
        <w:t xml:space="preserve"> el hoy recurrente interpuso </w:t>
      </w:r>
      <w:r w:rsidR="00B262FA">
        <w:rPr>
          <w:rFonts w:ascii="Palatino Linotype" w:hAnsi="Palatino Linotype"/>
          <w:sz w:val="23"/>
          <w:szCs w:val="23"/>
        </w:rPr>
        <w:t>el medio</w:t>
      </w:r>
      <w:r>
        <w:rPr>
          <w:rFonts w:ascii="Palatino Linotype" w:hAnsi="Palatino Linotype"/>
          <w:sz w:val="23"/>
          <w:szCs w:val="23"/>
        </w:rPr>
        <w:t xml:space="preserve"> de impugnación materia del presente voto, en </w:t>
      </w:r>
      <w:r w:rsidR="00B262FA">
        <w:rPr>
          <w:rFonts w:ascii="Palatino Linotype" w:hAnsi="Palatino Linotype"/>
          <w:sz w:val="23"/>
          <w:szCs w:val="23"/>
        </w:rPr>
        <w:t xml:space="preserve">el </w:t>
      </w:r>
      <w:r>
        <w:rPr>
          <w:rFonts w:ascii="Palatino Linotype" w:hAnsi="Palatino Linotype"/>
          <w:sz w:val="23"/>
          <w:szCs w:val="23"/>
        </w:rPr>
        <w:t>que en términos generales refirió que</w:t>
      </w:r>
      <w:r w:rsidRPr="005F3218">
        <w:rPr>
          <w:rFonts w:ascii="Palatino Linotype" w:hAnsi="Palatino Linotype"/>
          <w:sz w:val="23"/>
          <w:szCs w:val="23"/>
        </w:rPr>
        <w:t>:</w:t>
      </w:r>
      <w:r>
        <w:rPr>
          <w:rFonts w:ascii="Palatino Linotype" w:hAnsi="Palatino Linotype"/>
          <w:sz w:val="23"/>
          <w:szCs w:val="23"/>
        </w:rPr>
        <w:t xml:space="preserve"> </w:t>
      </w:r>
      <w:r w:rsidRPr="005F3218">
        <w:rPr>
          <w:rFonts w:ascii="Palatino Linotype" w:hAnsi="Palatino Linotype"/>
          <w:i/>
          <w:sz w:val="23"/>
          <w:szCs w:val="23"/>
        </w:rPr>
        <w:t>“</w:t>
      </w:r>
      <w:r w:rsidR="0099474E" w:rsidRPr="0099474E">
        <w:rPr>
          <w:rFonts w:ascii="Palatino Linotype" w:hAnsi="Palatino Linotype"/>
          <w:i/>
          <w:sz w:val="23"/>
          <w:szCs w:val="23"/>
        </w:rPr>
        <w:t>El sujeto obligado señala que en la actual administración se están realizando los trabajos correspondientes y por tal motivo no se puede brindar la información solicitada. Al ser una atribución legal para la institución deberá tener el documento que se solicita en los archivos institucionales. El brindar la información es un ejercicio de transparencia y rendición de cuentas</w:t>
      </w:r>
      <w:r w:rsidRPr="005F3218">
        <w:rPr>
          <w:rFonts w:ascii="Palatino Linotype" w:hAnsi="Palatino Linotype"/>
          <w:i/>
          <w:sz w:val="23"/>
          <w:szCs w:val="23"/>
        </w:rPr>
        <w:t>”</w:t>
      </w:r>
    </w:p>
    <w:p w:rsidR="004319C4" w:rsidRPr="005F3218" w:rsidRDefault="004319C4" w:rsidP="004319C4">
      <w:pPr>
        <w:spacing w:after="0" w:line="360" w:lineRule="auto"/>
        <w:jc w:val="both"/>
        <w:rPr>
          <w:rFonts w:ascii="Palatino Linotype" w:hAnsi="Palatino Linotype"/>
          <w:b/>
          <w:sz w:val="23"/>
          <w:szCs w:val="23"/>
          <w:u w:val="single"/>
        </w:rPr>
      </w:pPr>
    </w:p>
    <w:p w:rsidR="004319C4" w:rsidRDefault="004319C4" w:rsidP="004319C4">
      <w:pPr>
        <w:spacing w:after="0" w:line="360" w:lineRule="auto"/>
        <w:jc w:val="both"/>
        <w:rPr>
          <w:rFonts w:ascii="Palatino Linotype" w:hAnsi="Palatino Linotype"/>
          <w:sz w:val="23"/>
          <w:szCs w:val="23"/>
        </w:rPr>
      </w:pPr>
      <w:r>
        <w:rPr>
          <w:rFonts w:ascii="Palatino Linotype" w:hAnsi="Palatino Linotype"/>
          <w:sz w:val="23"/>
          <w:szCs w:val="23"/>
        </w:rPr>
        <w:t>U</w:t>
      </w:r>
      <w:r w:rsidRPr="00422884">
        <w:rPr>
          <w:rFonts w:ascii="Palatino Linotype" w:hAnsi="Palatino Linotype"/>
          <w:sz w:val="23"/>
          <w:szCs w:val="23"/>
        </w:rPr>
        <w:t>na vez que fue substanciado el recurso de revisión al rubro indicado, en la resolución se determinó que</w:t>
      </w:r>
      <w:r w:rsidRPr="00422884">
        <w:rPr>
          <w:rFonts w:ascii="Palatino Linotype" w:eastAsia="Times New Roman" w:hAnsi="Palatino Linotype" w:cs="Arial"/>
          <w:sz w:val="23"/>
          <w:szCs w:val="23"/>
          <w:lang w:eastAsia="es-ES"/>
        </w:rPr>
        <w:t xml:space="preserve"> </w:t>
      </w:r>
      <w:r w:rsidRPr="00422884">
        <w:rPr>
          <w:rFonts w:ascii="Palatino Linotype" w:hAnsi="Palatino Linotype"/>
          <w:sz w:val="23"/>
          <w:szCs w:val="23"/>
        </w:rPr>
        <w:t xml:space="preserve">los motivos o razones de inconformidad </w:t>
      </w:r>
      <w:r>
        <w:rPr>
          <w:rFonts w:ascii="Palatino Linotype" w:hAnsi="Palatino Linotype"/>
          <w:sz w:val="23"/>
          <w:szCs w:val="23"/>
        </w:rPr>
        <w:t>hechos valer en el recurso de revisión 02</w:t>
      </w:r>
      <w:r w:rsidR="0099474E">
        <w:rPr>
          <w:rFonts w:ascii="Palatino Linotype" w:hAnsi="Palatino Linotype"/>
          <w:sz w:val="23"/>
          <w:szCs w:val="23"/>
        </w:rPr>
        <w:t>606</w:t>
      </w:r>
      <w:r>
        <w:rPr>
          <w:rFonts w:ascii="Palatino Linotype" w:hAnsi="Palatino Linotype"/>
          <w:sz w:val="23"/>
          <w:szCs w:val="23"/>
        </w:rPr>
        <w:t xml:space="preserve">/INFOEM/IP/RR/2018 eran </w:t>
      </w:r>
      <w:r w:rsidR="0099474E">
        <w:rPr>
          <w:rFonts w:ascii="Palatino Linotype" w:hAnsi="Palatino Linotype"/>
          <w:sz w:val="23"/>
          <w:szCs w:val="23"/>
        </w:rPr>
        <w:t>fundado</w:t>
      </w:r>
      <w:r w:rsidRPr="005F3218">
        <w:rPr>
          <w:rFonts w:ascii="Palatino Linotype" w:hAnsi="Palatino Linotype"/>
          <w:sz w:val="23"/>
          <w:szCs w:val="23"/>
        </w:rPr>
        <w:t xml:space="preserve">s </w:t>
      </w:r>
      <w:r>
        <w:rPr>
          <w:rFonts w:ascii="Palatino Linotype" w:hAnsi="Palatino Linotype"/>
          <w:sz w:val="23"/>
          <w:szCs w:val="23"/>
        </w:rPr>
        <w:t xml:space="preserve">motivo por el cual se </w:t>
      </w:r>
      <w:r w:rsidR="0099474E">
        <w:rPr>
          <w:rFonts w:ascii="Palatino Linotype" w:hAnsi="Palatino Linotype"/>
          <w:b/>
          <w:sz w:val="23"/>
          <w:szCs w:val="23"/>
        </w:rPr>
        <w:t xml:space="preserve">REVOCA </w:t>
      </w:r>
      <w:r w:rsidRPr="005F3218">
        <w:rPr>
          <w:rFonts w:ascii="Palatino Linotype" w:hAnsi="Palatino Linotype"/>
          <w:sz w:val="23"/>
          <w:szCs w:val="23"/>
        </w:rPr>
        <w:t>la respuesta del Sujeto Obligado</w:t>
      </w:r>
      <w:r w:rsidRPr="005F3218">
        <w:rPr>
          <w:rFonts w:ascii="Palatino Linotype" w:hAnsi="Palatino Linotype"/>
          <w:b/>
          <w:sz w:val="23"/>
          <w:szCs w:val="23"/>
        </w:rPr>
        <w:t xml:space="preserve"> </w:t>
      </w:r>
      <w:r w:rsidRPr="00422884">
        <w:rPr>
          <w:rFonts w:ascii="Palatino Linotype" w:hAnsi="Palatino Linotype"/>
          <w:sz w:val="23"/>
          <w:szCs w:val="23"/>
        </w:rPr>
        <w:t>y ordena</w:t>
      </w:r>
      <w:r>
        <w:rPr>
          <w:rFonts w:ascii="Palatino Linotype" w:hAnsi="Palatino Linotype"/>
          <w:sz w:val="23"/>
          <w:szCs w:val="23"/>
        </w:rPr>
        <w:t xml:space="preserve">ndo en </w:t>
      </w:r>
      <w:r w:rsidR="00F517C3">
        <w:rPr>
          <w:rFonts w:ascii="Palatino Linotype" w:hAnsi="Palatino Linotype"/>
          <w:sz w:val="23"/>
          <w:szCs w:val="23"/>
        </w:rPr>
        <w:t>el resolutivo</w:t>
      </w:r>
      <w:r w:rsidR="0099474E">
        <w:rPr>
          <w:rFonts w:ascii="Palatino Linotype" w:hAnsi="Palatino Linotype"/>
          <w:sz w:val="23"/>
          <w:szCs w:val="23"/>
        </w:rPr>
        <w:t xml:space="preserve"> QUINTO</w:t>
      </w:r>
      <w:r>
        <w:rPr>
          <w:rFonts w:ascii="Palatino Linotype" w:hAnsi="Palatino Linotype"/>
          <w:sz w:val="23"/>
          <w:szCs w:val="23"/>
        </w:rPr>
        <w:t xml:space="preserve"> lo siguiente:</w:t>
      </w:r>
    </w:p>
    <w:p w:rsidR="004319C4" w:rsidRPr="004315C0" w:rsidRDefault="004319C4" w:rsidP="004319C4">
      <w:pPr>
        <w:spacing w:after="0" w:line="360" w:lineRule="auto"/>
        <w:ind w:left="851" w:right="851"/>
        <w:jc w:val="both"/>
        <w:rPr>
          <w:rFonts w:ascii="Palatino Linotype" w:eastAsia="Times New Roman" w:hAnsi="Palatino Linotype" w:cs="Arial"/>
          <w:b/>
          <w:sz w:val="20"/>
          <w:szCs w:val="20"/>
          <w:lang w:val="es-ES_tradnl" w:eastAsia="es-ES"/>
        </w:rPr>
      </w:pPr>
    </w:p>
    <w:p w:rsidR="0099474E" w:rsidRPr="0099474E" w:rsidRDefault="004319C4" w:rsidP="0099474E">
      <w:pPr>
        <w:spacing w:after="0" w:line="360" w:lineRule="auto"/>
        <w:ind w:left="851" w:right="851"/>
        <w:jc w:val="both"/>
        <w:rPr>
          <w:rFonts w:ascii="Palatino Linotype" w:hAnsi="Palatino Linotype"/>
          <w:b/>
          <w:bCs/>
          <w:i/>
          <w:sz w:val="21"/>
          <w:szCs w:val="21"/>
        </w:rPr>
      </w:pPr>
      <w:r>
        <w:rPr>
          <w:rFonts w:ascii="Palatino Linotype" w:eastAsia="Times New Roman" w:hAnsi="Palatino Linotype" w:cs="Arial"/>
          <w:b/>
          <w:sz w:val="20"/>
          <w:szCs w:val="20"/>
          <w:lang w:val="es-ES_tradnl" w:eastAsia="es-ES"/>
        </w:rPr>
        <w:t>“</w:t>
      </w:r>
      <w:r w:rsidR="0099474E">
        <w:rPr>
          <w:rFonts w:ascii="Palatino Linotype" w:hAnsi="Palatino Linotype"/>
          <w:b/>
          <w:bCs/>
          <w:i/>
          <w:sz w:val="21"/>
          <w:szCs w:val="21"/>
        </w:rPr>
        <w:t>…</w:t>
      </w:r>
    </w:p>
    <w:p w:rsidR="004319C4" w:rsidRPr="0099474E" w:rsidRDefault="0099474E" w:rsidP="0099474E">
      <w:pPr>
        <w:spacing w:after="0" w:line="360" w:lineRule="auto"/>
        <w:ind w:left="851" w:right="851"/>
        <w:jc w:val="both"/>
        <w:rPr>
          <w:rFonts w:ascii="Palatino Linotype" w:hAnsi="Palatino Linotype"/>
          <w:bCs/>
          <w:i/>
          <w:sz w:val="21"/>
          <w:szCs w:val="21"/>
        </w:rPr>
      </w:pPr>
      <w:r w:rsidRPr="0099474E">
        <w:rPr>
          <w:rFonts w:ascii="Palatino Linotype" w:hAnsi="Palatino Linotype"/>
          <w:b/>
          <w:bCs/>
          <w:i/>
          <w:sz w:val="21"/>
          <w:szCs w:val="21"/>
        </w:rPr>
        <w:lastRenderedPageBreak/>
        <w:t xml:space="preserve">QUINTO. </w:t>
      </w:r>
      <w:r w:rsidRPr="0099474E">
        <w:rPr>
          <w:rFonts w:ascii="Palatino Linotype" w:hAnsi="Palatino Linotype"/>
          <w:b/>
          <w:i/>
          <w:sz w:val="21"/>
          <w:szCs w:val="21"/>
          <w:u w:val="single"/>
        </w:rPr>
        <w:t>Hágase del conocimiento de LA RECURRENTE que de conformidad con lo establecido en el artículo 196 de la Ley de Transparencia y Acceso a la Información Pública del Estado de México y Municipios, podrá impugnarla vía Juicio de Amparo</w:t>
      </w:r>
      <w:r w:rsidRPr="0099474E">
        <w:rPr>
          <w:rFonts w:ascii="Palatino Linotype" w:hAnsi="Palatino Linotype"/>
          <w:i/>
          <w:sz w:val="21"/>
          <w:szCs w:val="21"/>
        </w:rPr>
        <w:t xml:space="preserve"> en los términos de las leyes aplicables.</w:t>
      </w:r>
    </w:p>
    <w:p w:rsidR="00B262FA" w:rsidRPr="0099474E" w:rsidRDefault="004319C4" w:rsidP="0099474E">
      <w:pPr>
        <w:spacing w:after="0" w:line="360" w:lineRule="auto"/>
        <w:ind w:left="851" w:right="851"/>
        <w:jc w:val="both"/>
        <w:rPr>
          <w:rFonts w:ascii="Palatino Linotype" w:hAnsi="Palatino Linotype"/>
          <w:b/>
          <w:sz w:val="21"/>
          <w:szCs w:val="21"/>
        </w:rPr>
      </w:pPr>
      <w:r w:rsidRPr="007C539E">
        <w:rPr>
          <w:rFonts w:ascii="Palatino Linotype" w:hAnsi="Palatino Linotype"/>
          <w:b/>
          <w:sz w:val="21"/>
          <w:szCs w:val="21"/>
          <w:lang w:val="es-ES_tradnl"/>
        </w:rPr>
        <w:t>Énfasis añadido.</w:t>
      </w:r>
    </w:p>
    <w:p w:rsidR="00B262FA" w:rsidRPr="00F517C3" w:rsidRDefault="0099474E" w:rsidP="00B262FA">
      <w:pPr>
        <w:spacing w:before="240" w:line="360" w:lineRule="auto"/>
        <w:contextualSpacing/>
        <w:jc w:val="both"/>
        <w:rPr>
          <w:rFonts w:ascii="Palatino Linotype" w:hAnsi="Palatino Linotype"/>
          <w:color w:val="222222"/>
          <w:sz w:val="23"/>
          <w:szCs w:val="23"/>
          <w:lang w:eastAsia="es-ES_tradnl"/>
        </w:rPr>
      </w:pPr>
      <w:r w:rsidRPr="00F517C3">
        <w:rPr>
          <w:rFonts w:ascii="Palatino Linotype" w:hAnsi="Palatino Linotype"/>
          <w:sz w:val="23"/>
          <w:szCs w:val="23"/>
        </w:rPr>
        <w:t xml:space="preserve">De lo anterior, </w:t>
      </w:r>
      <w:r w:rsidR="00B262FA" w:rsidRPr="00F517C3">
        <w:rPr>
          <w:rFonts w:ascii="Palatino Linotype" w:hAnsi="Palatino Linotype" w:cs="Arial"/>
          <w:bCs/>
          <w:sz w:val="23"/>
          <w:szCs w:val="23"/>
        </w:rPr>
        <w:t xml:space="preserve">considero que en el resolutivo </w:t>
      </w:r>
      <w:r w:rsidRPr="00F517C3">
        <w:rPr>
          <w:rFonts w:ascii="Palatino Linotype" w:hAnsi="Palatino Linotype" w:cs="Arial"/>
          <w:bCs/>
          <w:sz w:val="23"/>
          <w:szCs w:val="23"/>
        </w:rPr>
        <w:t>QUIN</w:t>
      </w:r>
      <w:r w:rsidR="00B262FA" w:rsidRPr="00F517C3">
        <w:rPr>
          <w:rFonts w:ascii="Palatino Linotype" w:hAnsi="Palatino Linotype" w:cs="Arial"/>
          <w:bCs/>
          <w:sz w:val="23"/>
          <w:szCs w:val="23"/>
        </w:rPr>
        <w:t xml:space="preserve">TO </w:t>
      </w:r>
      <w:r w:rsidR="00B262FA" w:rsidRPr="00F517C3">
        <w:rPr>
          <w:rFonts w:ascii="Palatino Linotype" w:hAnsi="Palatino Linotype"/>
          <w:color w:val="222222"/>
          <w:sz w:val="23"/>
          <w:szCs w:val="23"/>
          <w:lang w:eastAsia="es-ES_tradnl"/>
        </w:rPr>
        <w:t>se omitió fundamentar en lo previsto en los artículos 159 y 160 de la Ley General de Transparencia y Acceso a la Información Pública.</w:t>
      </w:r>
    </w:p>
    <w:p w:rsidR="00B262FA" w:rsidRPr="00F517C3" w:rsidRDefault="00B262FA" w:rsidP="00B262FA">
      <w:pPr>
        <w:spacing w:before="240" w:after="240" w:line="360" w:lineRule="auto"/>
        <w:jc w:val="both"/>
        <w:rPr>
          <w:rFonts w:ascii="Palatino Linotype" w:hAnsi="Palatino Linotype"/>
          <w:color w:val="222222"/>
          <w:sz w:val="23"/>
          <w:szCs w:val="23"/>
          <w:lang w:eastAsia="es-ES_tradnl"/>
        </w:rPr>
      </w:pPr>
      <w:r w:rsidRPr="00F517C3">
        <w:rPr>
          <w:rFonts w:ascii="Palatino Linotype" w:hAnsi="Palatino Linotype"/>
          <w:color w:val="222222"/>
          <w:sz w:val="23"/>
          <w:szCs w:val="23"/>
          <w:lang w:eastAsia="es-ES_tradnl"/>
        </w:rPr>
        <w:t xml:space="preserve">En mi opinión se le debió notificar al particular que podía </w:t>
      </w:r>
      <w:r w:rsidRPr="00F517C3">
        <w:rPr>
          <w:rFonts w:ascii="Palatino Linotype" w:hAnsi="Palatino Linotype"/>
          <w:sz w:val="23"/>
          <w:szCs w:val="23"/>
        </w:rPr>
        <w:t>impugnar la resolución vía recurso de inconformidad ante el Instituto Nacional de Transparencia, Acceso a la Información y Protección de Datos Personales</w:t>
      </w:r>
      <w:r w:rsidRPr="00F517C3">
        <w:rPr>
          <w:rFonts w:ascii="Palatino Linotype" w:hAnsi="Palatino Linotype"/>
          <w:color w:val="222222"/>
          <w:sz w:val="23"/>
          <w:szCs w:val="23"/>
          <w:lang w:eastAsia="es-ES_tradnl"/>
        </w:rPr>
        <w:t>, por las siguientes consideraciones:</w:t>
      </w:r>
    </w:p>
    <w:p w:rsidR="00B262FA" w:rsidRPr="00F517C3" w:rsidRDefault="00B262FA" w:rsidP="00B262FA">
      <w:pPr>
        <w:tabs>
          <w:tab w:val="left" w:pos="709"/>
        </w:tabs>
        <w:spacing w:before="240" w:line="360" w:lineRule="auto"/>
        <w:ind w:right="51"/>
        <w:jc w:val="both"/>
        <w:rPr>
          <w:rFonts w:ascii="Palatino Linotype" w:hAnsi="Palatino Linotype"/>
          <w:sz w:val="23"/>
          <w:szCs w:val="23"/>
        </w:rPr>
      </w:pPr>
      <w:r w:rsidRPr="00F517C3">
        <w:rPr>
          <w:rFonts w:ascii="Palatino Linotype" w:hAnsi="Palatino Linotype"/>
          <w:color w:val="222222"/>
          <w:sz w:val="23"/>
          <w:szCs w:val="23"/>
          <w:lang w:eastAsia="es-ES_tradnl"/>
        </w:rPr>
        <w:t xml:space="preserve">El recurso de revisión fue interpuesto por el particular ante su inconformidad por la respuesta proporcionada por el Sujeto Obligado, en virtud de que </w:t>
      </w:r>
      <w:r w:rsidRPr="00F517C3">
        <w:rPr>
          <w:rFonts w:ascii="Palatino Linotype" w:hAnsi="Palatino Linotype"/>
          <w:sz w:val="23"/>
          <w:szCs w:val="23"/>
        </w:rPr>
        <w:t>no es posible proporcionar</w:t>
      </w:r>
      <w:r w:rsidR="0099474E" w:rsidRPr="00F517C3">
        <w:rPr>
          <w:rFonts w:ascii="Palatino Linotype" w:hAnsi="Palatino Linotype"/>
          <w:sz w:val="23"/>
          <w:szCs w:val="23"/>
        </w:rPr>
        <w:t xml:space="preserve"> el</w:t>
      </w:r>
      <w:r w:rsidRPr="00F517C3">
        <w:rPr>
          <w:rFonts w:ascii="Palatino Linotype" w:hAnsi="Palatino Linotype"/>
          <w:sz w:val="23"/>
          <w:szCs w:val="23"/>
        </w:rPr>
        <w:t xml:space="preserve"> </w:t>
      </w:r>
      <w:r w:rsidR="0099474E" w:rsidRPr="00F517C3">
        <w:rPr>
          <w:rFonts w:ascii="Palatino Linotype" w:hAnsi="Palatino Linotype"/>
          <w:i/>
          <w:sz w:val="23"/>
          <w:szCs w:val="23"/>
        </w:rPr>
        <w:t>diagnóstico del municipio de San Felipe del Progreso sobre las causas, la frecuencia y las consecuencias de la violencia contra las mujeres y niñas</w:t>
      </w:r>
      <w:r w:rsidRPr="00F517C3">
        <w:rPr>
          <w:rFonts w:ascii="Palatino Linotype" w:hAnsi="Palatino Linotype"/>
          <w:sz w:val="23"/>
          <w:szCs w:val="23"/>
        </w:rPr>
        <w:t>.</w:t>
      </w:r>
    </w:p>
    <w:p w:rsidR="00B262FA" w:rsidRPr="00F517C3" w:rsidRDefault="00B262FA" w:rsidP="00B262FA">
      <w:pPr>
        <w:spacing w:before="240" w:after="240" w:line="360" w:lineRule="auto"/>
        <w:jc w:val="both"/>
        <w:rPr>
          <w:rFonts w:ascii="Palatino Linotype" w:hAnsi="Palatino Linotype" w:cs="Arial"/>
          <w:sz w:val="23"/>
          <w:szCs w:val="23"/>
        </w:rPr>
      </w:pPr>
      <w:r w:rsidRPr="00F517C3">
        <w:rPr>
          <w:rFonts w:ascii="Palatino Linotype" w:hAnsi="Palatino Linotype" w:cs="Arial"/>
          <w:sz w:val="23"/>
          <w:szCs w:val="23"/>
        </w:rPr>
        <w:t xml:space="preserve">Posteriormente </w:t>
      </w:r>
      <w:r w:rsidR="0099474E" w:rsidRPr="00F517C3">
        <w:rPr>
          <w:rFonts w:ascii="Palatino Linotype" w:hAnsi="Palatino Linotype" w:cs="Arial"/>
          <w:sz w:val="23"/>
          <w:szCs w:val="23"/>
        </w:rPr>
        <w:t xml:space="preserve">la Ponencia resolutora estableció que el Sujeto Obligado está facultado para generar, administrar y poseer la información requerida, no obstante lo anterior, el Sujeto Obligado a la fecha de la solicitud no había generado la información, razón por la cual se ordenó que </w:t>
      </w:r>
      <w:r w:rsidR="00F517C3" w:rsidRPr="00F517C3">
        <w:rPr>
          <w:rFonts w:ascii="Palatino Linotype" w:hAnsi="Palatino Linotype" w:cs="Arial"/>
          <w:sz w:val="23"/>
          <w:szCs w:val="23"/>
        </w:rPr>
        <w:t xml:space="preserve">a través de su Comité de Transparencia </w:t>
      </w:r>
      <w:r w:rsidR="0099474E" w:rsidRPr="00F517C3">
        <w:rPr>
          <w:rFonts w:ascii="Palatino Linotype" w:hAnsi="Palatino Linotype" w:cs="Arial"/>
          <w:sz w:val="23"/>
          <w:szCs w:val="23"/>
        </w:rPr>
        <w:t xml:space="preserve">emitiera el Acuerdo de Inexistencia </w:t>
      </w:r>
      <w:r w:rsidR="00F517C3" w:rsidRPr="00F517C3">
        <w:rPr>
          <w:rFonts w:ascii="Palatino Linotype" w:hAnsi="Palatino Linotype" w:cs="Arial"/>
          <w:sz w:val="23"/>
          <w:szCs w:val="23"/>
        </w:rPr>
        <w:t xml:space="preserve">fundado y motivado, en el que se expliquen las razones por las cuales no cuenta en sus archivos con los diagnósticos sobre las causas, la frecuencia y las consecuencias de la violencia contra las mujeres, referidos en el Programa Integral para </w:t>
      </w:r>
      <w:r w:rsidR="00F517C3" w:rsidRPr="00F517C3">
        <w:rPr>
          <w:rFonts w:ascii="Palatino Linotype" w:hAnsi="Palatino Linotype" w:cs="Arial"/>
          <w:sz w:val="23"/>
          <w:szCs w:val="23"/>
        </w:rPr>
        <w:lastRenderedPageBreak/>
        <w:t xml:space="preserve">la Igualdad de Trato y Oportunidades entre Mujeres y Hombres y para Prevenir, Atender, Sancionar y Erradicar la Violencia contra las Mujeres, del periodo 2011-2017. </w:t>
      </w:r>
      <w:r w:rsidR="0099474E" w:rsidRPr="00F517C3">
        <w:rPr>
          <w:rFonts w:ascii="Palatino Linotype" w:hAnsi="Palatino Linotype" w:cs="Arial"/>
          <w:sz w:val="23"/>
          <w:szCs w:val="23"/>
        </w:rPr>
        <w:t xml:space="preserve"> </w:t>
      </w:r>
    </w:p>
    <w:p w:rsidR="00B262FA" w:rsidRPr="00F517C3" w:rsidRDefault="00B262FA" w:rsidP="00B262FA">
      <w:pPr>
        <w:spacing w:before="240" w:after="240" w:line="360" w:lineRule="auto"/>
        <w:jc w:val="both"/>
        <w:rPr>
          <w:rFonts w:ascii="Palatino Linotype" w:hAnsi="Palatino Linotype" w:cs="Arial"/>
          <w:sz w:val="23"/>
          <w:szCs w:val="23"/>
        </w:rPr>
      </w:pPr>
      <w:r w:rsidRPr="00F517C3">
        <w:rPr>
          <w:rFonts w:ascii="Palatino Linotype" w:hAnsi="Palatino Linotype" w:cs="Arial"/>
          <w:sz w:val="23"/>
          <w:szCs w:val="23"/>
        </w:rPr>
        <w:t>Ante tal situación y a partir de la interpretación</w:t>
      </w:r>
      <w:r w:rsidRPr="00F517C3">
        <w:rPr>
          <w:rStyle w:val="Refdenotaalpie"/>
          <w:rFonts w:ascii="Palatino Linotype" w:hAnsi="Palatino Linotype" w:cs="Arial"/>
          <w:sz w:val="23"/>
          <w:szCs w:val="23"/>
        </w:rPr>
        <w:footnoteReference w:id="1"/>
      </w:r>
      <w:r w:rsidRPr="00F517C3">
        <w:rPr>
          <w:rFonts w:ascii="Palatino Linotype" w:hAnsi="Palatino Linotype" w:cs="Arial"/>
          <w:sz w:val="23"/>
          <w:szCs w:val="23"/>
        </w:rPr>
        <w:t xml:space="preserve"> a los artículos 159 y 160 de la Ley General de Transparencia y Acceso a la Información Pública que son de la literalidad siguiente:</w:t>
      </w:r>
    </w:p>
    <w:p w:rsidR="00B262FA" w:rsidRPr="00F517C3" w:rsidRDefault="00B262FA" w:rsidP="00B262FA">
      <w:pPr>
        <w:ind w:left="851" w:right="902"/>
        <w:jc w:val="both"/>
        <w:rPr>
          <w:rFonts w:ascii="Palatino Linotype" w:hAnsi="Palatino Linotype" w:cs="Arial"/>
          <w:i/>
          <w:sz w:val="21"/>
          <w:szCs w:val="21"/>
        </w:rPr>
      </w:pPr>
      <w:r w:rsidRPr="00F517C3">
        <w:rPr>
          <w:rFonts w:ascii="Palatino Linotype" w:hAnsi="Palatino Linotype" w:cs="Arial"/>
          <w:b/>
          <w:i/>
          <w:sz w:val="21"/>
          <w:szCs w:val="21"/>
        </w:rPr>
        <w:t xml:space="preserve">“Artículo 159. </w:t>
      </w:r>
      <w:r w:rsidRPr="00F517C3">
        <w:rPr>
          <w:rFonts w:ascii="Palatino Linotype" w:hAnsi="Palatino Linotype" w:cs="Arial"/>
          <w:i/>
          <w:sz w:val="21"/>
          <w:szCs w:val="21"/>
        </w:rPr>
        <w:t>Tratándose de las resoluciones a los recursos de revisión de los Organismos garantes de las Entidades Federativas, los particulares podrán optar por acudir ante el Instituto o ante el Poder Judicial de la Federación.”</w:t>
      </w:r>
    </w:p>
    <w:p w:rsidR="00B262FA" w:rsidRPr="00F517C3" w:rsidRDefault="00B262FA" w:rsidP="00B262FA">
      <w:pPr>
        <w:ind w:left="851" w:right="902"/>
        <w:jc w:val="both"/>
        <w:rPr>
          <w:rFonts w:ascii="Palatino Linotype" w:hAnsi="Palatino Linotype" w:cs="Arial"/>
          <w:i/>
          <w:sz w:val="21"/>
          <w:szCs w:val="21"/>
        </w:rPr>
      </w:pPr>
      <w:r w:rsidRPr="00F517C3">
        <w:rPr>
          <w:rFonts w:ascii="Palatino Linotype" w:hAnsi="Palatino Linotype" w:cs="Arial"/>
          <w:b/>
          <w:i/>
          <w:sz w:val="21"/>
          <w:szCs w:val="21"/>
        </w:rPr>
        <w:t>“Artículo 160.</w:t>
      </w:r>
      <w:r w:rsidRPr="00F517C3">
        <w:rPr>
          <w:rFonts w:ascii="Palatino Linotype" w:hAnsi="Palatino Linotype" w:cs="Arial"/>
          <w:i/>
          <w:sz w:val="21"/>
          <w:szCs w:val="21"/>
        </w:rPr>
        <w:t xml:space="preserve"> El recurso de inconformidad procede contra las resoluciones emitidas por los Organismos garantes de las Entidades Federativas que:</w:t>
      </w:r>
    </w:p>
    <w:p w:rsidR="00B262FA" w:rsidRPr="00F517C3" w:rsidRDefault="00B262FA" w:rsidP="00B262FA">
      <w:pPr>
        <w:ind w:left="851" w:right="902"/>
        <w:jc w:val="both"/>
        <w:rPr>
          <w:rFonts w:ascii="Palatino Linotype" w:hAnsi="Palatino Linotype" w:cs="Arial"/>
          <w:i/>
          <w:sz w:val="21"/>
          <w:szCs w:val="21"/>
        </w:rPr>
      </w:pPr>
      <w:r w:rsidRPr="00F517C3">
        <w:rPr>
          <w:rFonts w:ascii="Palatino Linotype" w:hAnsi="Palatino Linotype" w:cs="Arial"/>
          <w:i/>
          <w:sz w:val="21"/>
          <w:szCs w:val="21"/>
        </w:rPr>
        <w:t>I. Confirmen o modifiquen la clasificación de la información, (…)”</w:t>
      </w:r>
    </w:p>
    <w:p w:rsidR="00B262FA" w:rsidRDefault="00B262FA" w:rsidP="00B262FA">
      <w:pPr>
        <w:spacing w:before="240" w:after="240" w:line="360" w:lineRule="auto"/>
        <w:jc w:val="both"/>
        <w:rPr>
          <w:rFonts w:ascii="Palatino Linotype" w:hAnsi="Palatino Linotype"/>
        </w:rPr>
      </w:pPr>
      <w:r>
        <w:rPr>
          <w:rFonts w:ascii="Palatino Linotype" w:hAnsi="Palatino Linotype" w:cs="Arial"/>
        </w:rPr>
        <w:t xml:space="preserve">Debió considerarse </w:t>
      </w:r>
      <w:r>
        <w:rPr>
          <w:rFonts w:ascii="Palatino Linotype" w:hAnsi="Palatino Linotype"/>
        </w:rPr>
        <w:t xml:space="preserve">notificar a la particular que podía acudir ante el </w:t>
      </w:r>
      <w:r w:rsidRPr="00207478">
        <w:rPr>
          <w:rFonts w:ascii="Palatino Linotype" w:hAnsi="Palatino Linotype"/>
        </w:rPr>
        <w:t>Instituto Nacional de Transparencia, Acceso a la Información y Protección de Datos Personales</w:t>
      </w:r>
      <w:r>
        <w:rPr>
          <w:rFonts w:ascii="Palatino Linotype" w:hAnsi="Palatino Linotype"/>
        </w:rPr>
        <w:t xml:space="preserve"> (INAI) o ante el </w:t>
      </w:r>
      <w:r>
        <w:rPr>
          <w:rFonts w:ascii="Palatino Linotype" w:hAnsi="Palatino Linotype"/>
        </w:rPr>
        <w:lastRenderedPageBreak/>
        <w:t xml:space="preserve">Poder Judicial de la Federación para interponer recurso de inconformidad, </w:t>
      </w:r>
      <w:r>
        <w:rPr>
          <w:rFonts w:ascii="Palatino Linotype" w:hAnsi="Palatino Linotype" w:cs="Arial"/>
        </w:rPr>
        <w:t>favoreciendo con ello lo previsto en el artículo 1</w:t>
      </w:r>
      <w:r>
        <w:rPr>
          <w:rStyle w:val="Refdenotaalpie"/>
          <w:rFonts w:ascii="Palatino Linotype" w:hAnsi="Palatino Linotype" w:cs="Arial"/>
        </w:rPr>
        <w:footnoteReference w:id="2"/>
      </w:r>
      <w:r>
        <w:rPr>
          <w:rFonts w:ascii="Palatino Linotype" w:hAnsi="Palatino Linotype" w:cs="Arial"/>
        </w:rPr>
        <w:t xml:space="preserve"> de la Constitución Política de los Estados Unidos Mexicanos.</w:t>
      </w:r>
    </w:p>
    <w:p w:rsidR="00B262FA" w:rsidRDefault="00B262FA" w:rsidP="00B262FA">
      <w:pPr>
        <w:spacing w:before="240" w:after="240" w:line="360" w:lineRule="auto"/>
        <w:jc w:val="both"/>
        <w:rPr>
          <w:rFonts w:ascii="Palatino Linotype" w:hAnsi="Palatino Linotype"/>
        </w:rPr>
      </w:pPr>
      <w:r>
        <w:rPr>
          <w:rFonts w:ascii="Palatino Linotype" w:hAnsi="Palatino Linotype"/>
        </w:rPr>
        <w:t>En este sentido y para abundar en el tema conviene precisar que los particulares podrán interponer recurso de inconformidad ante el INAI o ante el Poder Judicial de la Federación dentro de los quince días posteriores a que se tuvo conocimiento de la resolución mediante el sistema electrónico que para tales efectos haya dispuesto el INAI o por escrito.</w:t>
      </w:r>
    </w:p>
    <w:p w:rsidR="00B262FA" w:rsidRDefault="00B262FA" w:rsidP="00B262FA">
      <w:pPr>
        <w:spacing w:before="240" w:after="240" w:line="360" w:lineRule="auto"/>
        <w:jc w:val="both"/>
        <w:rPr>
          <w:rFonts w:ascii="Palatino Linotype" w:hAnsi="Palatino Linotype"/>
        </w:rPr>
      </w:pPr>
      <w:r>
        <w:rPr>
          <w:rFonts w:ascii="Palatino Linotype" w:hAnsi="Palatino Linotype"/>
        </w:rPr>
        <w:t>Cabe considerar, que también se podrá presentar por escrito ante este Instituto, instancia que a su vez tiene la obligación de remitirlo al día siguiente de su recepción al Organismo Garante de la Entidad Federativa, acompañado de la resolución impugnada.</w:t>
      </w:r>
    </w:p>
    <w:p w:rsidR="00B262FA" w:rsidRDefault="00B262FA" w:rsidP="00B262FA">
      <w:pPr>
        <w:spacing w:before="240" w:after="120" w:line="360" w:lineRule="auto"/>
        <w:jc w:val="both"/>
        <w:rPr>
          <w:rFonts w:ascii="Palatino Linotype" w:hAnsi="Palatino Linotype"/>
        </w:rPr>
      </w:pPr>
      <w:r>
        <w:rPr>
          <w:rFonts w:ascii="Palatino Linotype" w:hAnsi="Palatino Linotype"/>
        </w:rPr>
        <w:t>Recurso de inconformidad, que deberá contener lo dispuesto en el artículo 162 de la Ley General de referencia, que reza de la siguiente forma:</w:t>
      </w:r>
    </w:p>
    <w:p w:rsidR="00B262FA" w:rsidRPr="00370CD6" w:rsidRDefault="00B262FA" w:rsidP="00B262FA">
      <w:pPr>
        <w:ind w:left="851" w:right="902"/>
        <w:jc w:val="both"/>
        <w:rPr>
          <w:rFonts w:ascii="Palatino Linotype" w:hAnsi="Palatino Linotype"/>
          <w:i/>
          <w:sz w:val="20"/>
          <w:szCs w:val="20"/>
        </w:rPr>
      </w:pPr>
      <w:r w:rsidRPr="00370CD6">
        <w:rPr>
          <w:rFonts w:ascii="Palatino Linotype" w:hAnsi="Palatino Linotype"/>
          <w:b/>
          <w:i/>
          <w:sz w:val="20"/>
          <w:szCs w:val="20"/>
        </w:rPr>
        <w:t>“Artículo 162.</w:t>
      </w:r>
      <w:r w:rsidRPr="00370CD6">
        <w:rPr>
          <w:rFonts w:ascii="Palatino Linotype" w:hAnsi="Palatino Linotype"/>
          <w:i/>
          <w:sz w:val="20"/>
          <w:szCs w:val="20"/>
        </w:rPr>
        <w:t xml:space="preserve"> El recurso de inconformidad deberá contener:  </w:t>
      </w:r>
    </w:p>
    <w:p w:rsidR="00B262FA" w:rsidRPr="00370CD6" w:rsidRDefault="00B262FA" w:rsidP="00B262FA">
      <w:pPr>
        <w:ind w:left="1134" w:right="902"/>
        <w:jc w:val="both"/>
        <w:rPr>
          <w:rFonts w:ascii="Palatino Linotype" w:hAnsi="Palatino Linotype"/>
          <w:i/>
          <w:sz w:val="20"/>
          <w:szCs w:val="20"/>
        </w:rPr>
      </w:pPr>
      <w:r w:rsidRPr="00370CD6">
        <w:rPr>
          <w:rFonts w:ascii="Palatino Linotype" w:hAnsi="Palatino Linotype"/>
          <w:i/>
          <w:sz w:val="20"/>
          <w:szCs w:val="20"/>
        </w:rPr>
        <w:t xml:space="preserve">I. El sujeto obligado ante el cual se presentó la solicitud;  </w:t>
      </w:r>
    </w:p>
    <w:p w:rsidR="00B262FA" w:rsidRPr="00370CD6" w:rsidRDefault="00B262FA" w:rsidP="00B262FA">
      <w:pPr>
        <w:ind w:left="1134" w:right="902"/>
        <w:jc w:val="both"/>
        <w:rPr>
          <w:rFonts w:ascii="Palatino Linotype" w:hAnsi="Palatino Linotype"/>
          <w:i/>
          <w:sz w:val="20"/>
          <w:szCs w:val="20"/>
        </w:rPr>
      </w:pPr>
      <w:r w:rsidRPr="00370CD6">
        <w:rPr>
          <w:rFonts w:ascii="Palatino Linotype" w:hAnsi="Palatino Linotype"/>
          <w:i/>
          <w:sz w:val="20"/>
          <w:szCs w:val="20"/>
        </w:rPr>
        <w:t xml:space="preserve">II. El número de la resolución del recurso de revisión de la resolución impugnada;  </w:t>
      </w:r>
    </w:p>
    <w:p w:rsidR="00B262FA" w:rsidRPr="00370CD6" w:rsidRDefault="00B262FA" w:rsidP="00B262FA">
      <w:pPr>
        <w:ind w:left="1134" w:right="902"/>
        <w:jc w:val="both"/>
        <w:rPr>
          <w:rFonts w:ascii="Palatino Linotype" w:hAnsi="Palatino Linotype"/>
          <w:i/>
          <w:sz w:val="20"/>
          <w:szCs w:val="20"/>
        </w:rPr>
      </w:pPr>
      <w:r w:rsidRPr="00370CD6">
        <w:rPr>
          <w:rFonts w:ascii="Palatino Linotype" w:hAnsi="Palatino Linotype"/>
          <w:i/>
          <w:sz w:val="20"/>
          <w:szCs w:val="20"/>
        </w:rPr>
        <w:t xml:space="preserve">III. El organismo garante que emitió la resolución que se impugna;  </w:t>
      </w:r>
    </w:p>
    <w:p w:rsidR="00B262FA" w:rsidRPr="00370CD6" w:rsidRDefault="00B262FA" w:rsidP="00B262FA">
      <w:pPr>
        <w:ind w:left="1134" w:right="902"/>
        <w:jc w:val="both"/>
        <w:rPr>
          <w:rFonts w:ascii="Palatino Linotype" w:hAnsi="Palatino Linotype"/>
          <w:i/>
          <w:sz w:val="20"/>
          <w:szCs w:val="20"/>
        </w:rPr>
      </w:pPr>
      <w:r w:rsidRPr="00370CD6">
        <w:rPr>
          <w:rFonts w:ascii="Palatino Linotype" w:hAnsi="Palatino Linotype"/>
          <w:i/>
          <w:sz w:val="20"/>
          <w:szCs w:val="20"/>
        </w:rPr>
        <w:lastRenderedPageBreak/>
        <w:t xml:space="preserve">IV. El nombre del inconforme y, en su caso, del tercero interesado, así como las correspondientes direcciones o medios para recibir notificaciones;  </w:t>
      </w:r>
    </w:p>
    <w:p w:rsidR="00B262FA" w:rsidRPr="00370CD6" w:rsidRDefault="00B262FA" w:rsidP="00B262FA">
      <w:pPr>
        <w:ind w:left="1134" w:right="902"/>
        <w:jc w:val="both"/>
        <w:rPr>
          <w:rFonts w:ascii="Palatino Linotype" w:hAnsi="Palatino Linotype"/>
          <w:i/>
          <w:sz w:val="20"/>
          <w:szCs w:val="20"/>
        </w:rPr>
      </w:pPr>
      <w:r w:rsidRPr="00370CD6">
        <w:rPr>
          <w:rFonts w:ascii="Palatino Linotype" w:hAnsi="Palatino Linotype"/>
          <w:i/>
          <w:sz w:val="20"/>
          <w:szCs w:val="20"/>
        </w:rPr>
        <w:t xml:space="preserve">V. La fecha en que fue notificada la resolución impugnada;  </w:t>
      </w:r>
    </w:p>
    <w:p w:rsidR="00B262FA" w:rsidRPr="00370CD6" w:rsidRDefault="00B262FA" w:rsidP="00B262FA">
      <w:pPr>
        <w:ind w:left="1134" w:right="902"/>
        <w:jc w:val="both"/>
        <w:rPr>
          <w:rFonts w:ascii="Palatino Linotype" w:hAnsi="Palatino Linotype"/>
          <w:i/>
          <w:sz w:val="20"/>
          <w:szCs w:val="20"/>
        </w:rPr>
      </w:pPr>
      <w:r w:rsidRPr="00370CD6">
        <w:rPr>
          <w:rFonts w:ascii="Palatino Linotype" w:hAnsi="Palatino Linotype"/>
          <w:i/>
          <w:sz w:val="20"/>
          <w:szCs w:val="20"/>
        </w:rPr>
        <w:t xml:space="preserve">VI. El acto que se recurre;  </w:t>
      </w:r>
    </w:p>
    <w:p w:rsidR="00B262FA" w:rsidRPr="00370CD6" w:rsidRDefault="00B262FA" w:rsidP="00B262FA">
      <w:pPr>
        <w:ind w:left="1134" w:right="902"/>
        <w:jc w:val="both"/>
        <w:rPr>
          <w:rFonts w:ascii="Palatino Linotype" w:hAnsi="Palatino Linotype"/>
          <w:i/>
          <w:sz w:val="20"/>
          <w:szCs w:val="20"/>
        </w:rPr>
      </w:pPr>
      <w:r w:rsidRPr="00370CD6">
        <w:rPr>
          <w:rFonts w:ascii="Palatino Linotype" w:hAnsi="Palatino Linotype"/>
          <w:i/>
          <w:sz w:val="20"/>
          <w:szCs w:val="20"/>
        </w:rPr>
        <w:t xml:space="preserve">VII. Las razones o motivos de la inconformidad, y  </w:t>
      </w:r>
    </w:p>
    <w:p w:rsidR="00B262FA" w:rsidRPr="00370CD6" w:rsidRDefault="00B262FA" w:rsidP="00B262FA">
      <w:pPr>
        <w:ind w:left="1134" w:right="902"/>
        <w:jc w:val="both"/>
        <w:rPr>
          <w:rFonts w:ascii="Palatino Linotype" w:hAnsi="Palatino Linotype"/>
          <w:i/>
          <w:sz w:val="20"/>
          <w:szCs w:val="20"/>
        </w:rPr>
      </w:pPr>
      <w:r w:rsidRPr="00370CD6">
        <w:rPr>
          <w:rFonts w:ascii="Palatino Linotype" w:hAnsi="Palatino Linotype"/>
          <w:i/>
          <w:sz w:val="20"/>
          <w:szCs w:val="20"/>
        </w:rPr>
        <w:t xml:space="preserve">VIII. La copia de la resolución que se impugna y, en su caso, de la notificación correspondiente.  </w:t>
      </w:r>
    </w:p>
    <w:p w:rsidR="00B262FA" w:rsidRPr="00370CD6" w:rsidRDefault="00B262FA" w:rsidP="00B262FA">
      <w:pPr>
        <w:ind w:left="851" w:right="902"/>
        <w:jc w:val="both"/>
        <w:rPr>
          <w:rFonts w:ascii="Palatino Linotype" w:hAnsi="Palatino Linotype"/>
          <w:i/>
          <w:sz w:val="20"/>
          <w:szCs w:val="20"/>
        </w:rPr>
      </w:pPr>
      <w:r w:rsidRPr="00370CD6">
        <w:rPr>
          <w:rFonts w:ascii="Palatino Linotype" w:hAnsi="Palatino Linotype"/>
          <w:i/>
          <w:sz w:val="20"/>
          <w:szCs w:val="20"/>
        </w:rPr>
        <w:t>El recurrente podrá anexar las pruebas y demás elementos que considere procedentes someter a consideración del organismo garante.”</w:t>
      </w:r>
    </w:p>
    <w:p w:rsidR="00B262FA" w:rsidRPr="00F517C3" w:rsidRDefault="00B262FA" w:rsidP="00F517C3">
      <w:pPr>
        <w:spacing w:before="120" w:after="240" w:line="360" w:lineRule="auto"/>
        <w:jc w:val="both"/>
        <w:rPr>
          <w:rFonts w:ascii="Palatino Linotype" w:hAnsi="Palatino Linotype"/>
        </w:rPr>
      </w:pPr>
      <w:r>
        <w:rPr>
          <w:rFonts w:ascii="Palatino Linotype" w:hAnsi="Palatino Linotype"/>
        </w:rPr>
        <w:t xml:space="preserve">Por lo que concluyó diciendo, que a fin de salvaguardar el derecho de acceso a la información del particular, se le debió notificar mediante el resolutivo </w:t>
      </w:r>
      <w:r w:rsidR="00F517C3">
        <w:rPr>
          <w:rFonts w:ascii="Palatino Linotype" w:hAnsi="Palatino Linotype"/>
        </w:rPr>
        <w:t>QUIN</w:t>
      </w:r>
      <w:r>
        <w:rPr>
          <w:rFonts w:ascii="Palatino Linotype" w:hAnsi="Palatino Linotype"/>
        </w:rPr>
        <w:t xml:space="preserve">TO que podía interponer recurso de inconformidad ante el </w:t>
      </w:r>
      <w:r w:rsidRPr="00207478">
        <w:rPr>
          <w:rFonts w:ascii="Palatino Linotype" w:hAnsi="Palatino Linotype"/>
        </w:rPr>
        <w:t>Instituto Nacional de Transparencia, Acceso a la Información y Protección de Datos Personales</w:t>
      </w:r>
      <w:r>
        <w:rPr>
          <w:rFonts w:ascii="Palatino Linotype" w:hAnsi="Palatino Linotype"/>
        </w:rPr>
        <w:t xml:space="preserve"> (INAI) o ante el Poder Judicial de la Federación con base en lo dispuesto en los artículos 196 de la Ley de Transparencia y Acceso a la Información Pública del Estado de México de México y Municipios, 159 y 160 de la Ley General de Transparencia y Acceso a la Información Pública.</w:t>
      </w:r>
    </w:p>
    <w:p w:rsidR="004319C4" w:rsidRPr="00422884" w:rsidRDefault="004319C4" w:rsidP="004319C4">
      <w:pPr>
        <w:spacing w:after="0" w:line="360" w:lineRule="auto"/>
        <w:jc w:val="both"/>
        <w:rPr>
          <w:rFonts w:ascii="Palatino Linotype" w:hAnsi="Palatino Linotype" w:cs="Arial"/>
          <w:sz w:val="23"/>
          <w:szCs w:val="23"/>
        </w:rPr>
      </w:pPr>
      <w:r w:rsidRPr="00422884">
        <w:rPr>
          <w:rFonts w:ascii="Palatino Linotype" w:hAnsi="Palatino Linotype"/>
          <w:sz w:val="23"/>
          <w:szCs w:val="23"/>
        </w:rPr>
        <w:t>En mérito de lo precisado con anterioridad</w:t>
      </w:r>
      <w:r w:rsidRPr="00422884">
        <w:rPr>
          <w:rFonts w:ascii="Palatino Linotype" w:hAnsi="Palatino Linotype" w:cs="Arial"/>
          <w:sz w:val="23"/>
          <w:szCs w:val="23"/>
        </w:rPr>
        <w:t xml:space="preserve">, </w:t>
      </w:r>
      <w:r w:rsidRPr="00422884">
        <w:rPr>
          <w:rFonts w:ascii="Palatino Linotype" w:hAnsi="Palatino Linotype"/>
          <w:sz w:val="23"/>
          <w:szCs w:val="23"/>
        </w:rPr>
        <w:t>el suscrito emite el presente voto particular.</w:t>
      </w:r>
    </w:p>
    <w:p w:rsidR="004319C4" w:rsidRPr="00422884" w:rsidRDefault="004319C4" w:rsidP="004319C4">
      <w:pPr>
        <w:spacing w:after="0" w:line="360" w:lineRule="auto"/>
        <w:rPr>
          <w:rFonts w:ascii="Palatino Linotype" w:hAnsi="Palatino Linotype"/>
          <w:b/>
          <w:sz w:val="23"/>
          <w:szCs w:val="23"/>
        </w:rPr>
      </w:pPr>
    </w:p>
    <w:p w:rsidR="004319C4" w:rsidRPr="00422884" w:rsidRDefault="004319C4" w:rsidP="004319C4">
      <w:pPr>
        <w:spacing w:after="0" w:line="360" w:lineRule="auto"/>
        <w:rPr>
          <w:rFonts w:ascii="Palatino Linotype" w:hAnsi="Palatino Linotype"/>
          <w:b/>
          <w:sz w:val="23"/>
          <w:szCs w:val="23"/>
        </w:rPr>
      </w:pPr>
    </w:p>
    <w:p w:rsidR="004319C4" w:rsidRPr="00422884" w:rsidRDefault="004319C4" w:rsidP="004319C4">
      <w:pPr>
        <w:spacing w:after="0" w:line="240" w:lineRule="auto"/>
        <w:jc w:val="center"/>
        <w:rPr>
          <w:rFonts w:ascii="Palatino Linotype" w:hAnsi="Palatino Linotype"/>
          <w:b/>
          <w:sz w:val="23"/>
          <w:szCs w:val="23"/>
        </w:rPr>
      </w:pPr>
      <w:r w:rsidRPr="00422884">
        <w:rPr>
          <w:rFonts w:ascii="Palatino Linotype" w:hAnsi="Palatino Linotype"/>
          <w:b/>
          <w:sz w:val="23"/>
          <w:szCs w:val="23"/>
        </w:rPr>
        <w:t xml:space="preserve">     Javier Martínez Cruz</w:t>
      </w:r>
    </w:p>
    <w:p w:rsidR="004319C4" w:rsidRDefault="004319C4" w:rsidP="004319C4">
      <w:pPr>
        <w:spacing w:after="0" w:line="240" w:lineRule="auto"/>
        <w:jc w:val="center"/>
        <w:rPr>
          <w:rFonts w:ascii="Palatino Linotype" w:hAnsi="Palatino Linotype"/>
          <w:sz w:val="23"/>
          <w:szCs w:val="23"/>
        </w:rPr>
      </w:pPr>
      <w:r w:rsidRPr="00422884">
        <w:rPr>
          <w:rFonts w:ascii="Palatino Linotype" w:hAnsi="Palatino Linotype"/>
          <w:sz w:val="23"/>
          <w:szCs w:val="23"/>
        </w:rPr>
        <w:t>Comisionado</w:t>
      </w:r>
    </w:p>
    <w:p w:rsidR="00F517C3" w:rsidRPr="00422884" w:rsidRDefault="00F517C3" w:rsidP="004319C4">
      <w:pPr>
        <w:spacing w:after="0" w:line="240" w:lineRule="auto"/>
        <w:jc w:val="center"/>
        <w:rPr>
          <w:rFonts w:ascii="Palatino Linotype" w:hAnsi="Palatino Linotype"/>
          <w:sz w:val="23"/>
          <w:szCs w:val="23"/>
        </w:rPr>
      </w:pPr>
      <w:bookmarkStart w:id="0" w:name="_GoBack"/>
      <w:bookmarkEnd w:id="0"/>
    </w:p>
    <w:p w:rsidR="004319C4" w:rsidRPr="007C539E" w:rsidRDefault="004319C4" w:rsidP="004319C4">
      <w:pPr>
        <w:spacing w:after="0" w:line="240" w:lineRule="auto"/>
        <w:rPr>
          <w:rFonts w:ascii="Palatino Linotype" w:hAnsi="Palatino Linotype"/>
          <w:sz w:val="23"/>
          <w:szCs w:val="23"/>
        </w:rPr>
      </w:pPr>
    </w:p>
    <w:p w:rsidR="00436B46" w:rsidRDefault="00436B46"/>
    <w:sectPr w:rsidR="00436B46"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B1B" w:rsidRDefault="00706B1B" w:rsidP="004319C4">
      <w:pPr>
        <w:spacing w:after="0" w:line="240" w:lineRule="auto"/>
      </w:pPr>
      <w:r>
        <w:separator/>
      </w:r>
    </w:p>
  </w:endnote>
  <w:endnote w:type="continuationSeparator" w:id="0">
    <w:p w:rsidR="00706B1B" w:rsidRDefault="00706B1B" w:rsidP="0043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B66524"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7431B">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7431B">
      <w:rPr>
        <w:rFonts w:ascii="Arial" w:hAnsi="Arial" w:cs="Arial"/>
        <w:b/>
        <w:bCs/>
        <w:noProof/>
        <w:sz w:val="20"/>
        <w:szCs w:val="20"/>
      </w:rPr>
      <w:t>6</w:t>
    </w:r>
    <w:r w:rsidRPr="00986599">
      <w:rPr>
        <w:rFonts w:ascii="Arial" w:hAnsi="Arial" w:cs="Arial"/>
        <w:b/>
        <w:bCs/>
        <w:sz w:val="20"/>
        <w:szCs w:val="20"/>
      </w:rPr>
      <w:fldChar w:fldCharType="end"/>
    </w:r>
  </w:p>
  <w:p w:rsidR="00D758BE" w:rsidRDefault="00706B1B"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B1B" w:rsidRDefault="00706B1B" w:rsidP="004319C4">
      <w:pPr>
        <w:spacing w:after="0" w:line="240" w:lineRule="auto"/>
      </w:pPr>
      <w:r>
        <w:separator/>
      </w:r>
    </w:p>
  </w:footnote>
  <w:footnote w:type="continuationSeparator" w:id="0">
    <w:p w:rsidR="00706B1B" w:rsidRDefault="00706B1B" w:rsidP="004319C4">
      <w:pPr>
        <w:spacing w:after="0" w:line="240" w:lineRule="auto"/>
      </w:pPr>
      <w:r>
        <w:continuationSeparator/>
      </w:r>
    </w:p>
  </w:footnote>
  <w:footnote w:id="1">
    <w:p w:rsidR="00B262FA" w:rsidRPr="000838C6" w:rsidRDefault="00B262FA" w:rsidP="00B262FA">
      <w:pPr>
        <w:pStyle w:val="Textonotapie"/>
        <w:jc w:val="both"/>
        <w:rPr>
          <w:rFonts w:ascii="Palatino Linotype" w:hAnsi="Palatino Linotype"/>
          <w:i/>
          <w:sz w:val="16"/>
          <w:szCs w:val="16"/>
        </w:rPr>
      </w:pPr>
      <w:r>
        <w:rPr>
          <w:rStyle w:val="Refdenotaalpie"/>
        </w:rPr>
        <w:footnoteRef/>
      </w:r>
      <w:r>
        <w:t xml:space="preserve"> </w:t>
      </w:r>
      <w:r>
        <w:rPr>
          <w:rFonts w:ascii="Palatino Linotype" w:hAnsi="Palatino Linotype"/>
          <w:i/>
          <w:sz w:val="16"/>
          <w:szCs w:val="16"/>
        </w:rPr>
        <w:t xml:space="preserve">Cfr. </w:t>
      </w:r>
      <w:r w:rsidRPr="000838C6">
        <w:rPr>
          <w:rFonts w:ascii="Palatino Linotype" w:hAnsi="Palatino Linotype"/>
          <w:sz w:val="16"/>
          <w:szCs w:val="16"/>
        </w:rPr>
        <w:t xml:space="preserve">Tesis Aislada de la Décima Época P. II/2017 (10a.) </w:t>
      </w:r>
      <w:r w:rsidRPr="00845DA4">
        <w:rPr>
          <w:rFonts w:ascii="Palatino Linotype" w:hAnsi="Palatino Linotype"/>
          <w:i/>
          <w:sz w:val="16"/>
          <w:szCs w:val="16"/>
        </w:rPr>
        <w:t>INTERPRETACIÓN CONFORME. SUS ALCANCES EN RELACIÓN CON EL PRINCIPIO DE INTERPRETACIÓN MÁS FAVORABLE A LA PERSONA.</w:t>
      </w:r>
      <w:r>
        <w:rPr>
          <w:rFonts w:ascii="Palatino Linotype" w:hAnsi="Palatino Linotype"/>
          <w:i/>
          <w:sz w:val="16"/>
          <w:szCs w:val="16"/>
        </w:rPr>
        <w:t xml:space="preserve"> </w:t>
      </w:r>
      <w:r w:rsidRPr="00845DA4">
        <w:rPr>
          <w:rFonts w:ascii="Palatino Linotype" w:hAnsi="Palatino Linotype"/>
          <w:i/>
          <w:sz w:val="16"/>
          <w:szCs w:val="16"/>
        </w:rPr>
        <w:t>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inconvencional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inconvencionalidad;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w:t>
      </w:r>
      <w:r>
        <w:rPr>
          <w:rFonts w:ascii="Palatino Linotype" w:hAnsi="Palatino Linotype"/>
          <w:i/>
          <w:sz w:val="16"/>
          <w:szCs w:val="16"/>
        </w:rPr>
        <w:t>a y en todo caso a la sociedad.</w:t>
      </w:r>
    </w:p>
  </w:footnote>
  <w:footnote w:id="2">
    <w:p w:rsidR="00B262FA" w:rsidRPr="00B02CB0" w:rsidRDefault="00B262FA" w:rsidP="00B262FA">
      <w:pPr>
        <w:pStyle w:val="Textonotapie"/>
        <w:jc w:val="both"/>
        <w:rPr>
          <w:rFonts w:ascii="Palatino Linotype" w:hAnsi="Palatino Linotype"/>
          <w:i/>
          <w:sz w:val="16"/>
          <w:szCs w:val="16"/>
        </w:rPr>
      </w:pPr>
      <w:r>
        <w:rPr>
          <w:rStyle w:val="Refdenotaalpie"/>
        </w:rPr>
        <w:footnoteRef/>
      </w:r>
      <w:r>
        <w:t xml:space="preserve"> </w:t>
      </w:r>
      <w:r w:rsidRPr="00B02CB0">
        <w:rPr>
          <w:rFonts w:ascii="Palatino Linotype" w:hAnsi="Palatino Linotype"/>
          <w:i/>
          <w:sz w:val="16"/>
          <w:szCs w:val="16"/>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w:t>
      </w:r>
      <w:r>
        <w:rPr>
          <w:rFonts w:ascii="Palatino Linotype" w:hAnsi="Palatino Linotype"/>
          <w:i/>
          <w:sz w:val="16"/>
          <w:szCs w:val="16"/>
        </w:rPr>
        <w:t xml:space="preserve">e esta Constitución establece. </w:t>
      </w:r>
      <w:r w:rsidRPr="00B02CB0">
        <w:rPr>
          <w:rFonts w:ascii="Palatino Linotype" w:hAnsi="Palatino Linotype"/>
          <w:i/>
          <w:sz w:val="16"/>
          <w:szCs w:val="16"/>
        </w:rPr>
        <w:t>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w:t>
      </w:r>
      <w:r>
        <w:rPr>
          <w:rFonts w:ascii="Palatino Linotype" w:hAnsi="Palatino Linotype"/>
          <w:i/>
          <w:sz w:val="16"/>
          <w:szCs w:val="16"/>
        </w:rPr>
        <w:t xml:space="preserve">érminos que establezca la ley. </w:t>
      </w:r>
      <w:r w:rsidRPr="00B02CB0">
        <w:rPr>
          <w:rFonts w:ascii="Palatino Linotype" w:hAnsi="Palatino Linotype"/>
          <w:i/>
          <w:sz w:val="16"/>
          <w:szCs w:val="16"/>
        </w:rPr>
        <w:t>Está prohibida la esclavitud en los Estados Unidos Mexicanos. Los esclavos del extranjero que entren al territorio nacional alcanzarán, por este solo hecho, su libertad</w:t>
      </w:r>
      <w:r>
        <w:rPr>
          <w:rFonts w:ascii="Palatino Linotype" w:hAnsi="Palatino Linotype"/>
          <w:i/>
          <w:sz w:val="16"/>
          <w:szCs w:val="16"/>
        </w:rPr>
        <w:t xml:space="preserve"> y la protección de las leyes. </w:t>
      </w:r>
      <w:r w:rsidRPr="00B02CB0">
        <w:rPr>
          <w:rFonts w:ascii="Palatino Linotype" w:hAnsi="Palatino Linotype"/>
          <w:i/>
          <w:sz w:val="16"/>
          <w:szCs w:val="16"/>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B66524">
    <w:pPr>
      <w:pStyle w:val="Encabezado"/>
    </w:pPr>
    <w:r>
      <w:rPr>
        <w:noProof/>
        <w:lang w:val="es-MX" w:eastAsia="es-MX"/>
      </w:rPr>
      <mc:AlternateContent>
        <mc:Choice Requires="wps">
          <w:drawing>
            <wp:anchor distT="0" distB="0" distL="114300" distR="114300" simplePos="0" relativeHeight="251659264" behindDoc="1" locked="0" layoutInCell="0" allowOverlap="1" wp14:anchorId="23B84FE8" wp14:editId="70DE352B">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B66524"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B84FE8"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B66524"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B66524"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17AAB42D" wp14:editId="0ACED813">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706B1B" w:rsidP="007263BB">
    <w:pPr>
      <w:pStyle w:val="Encabezado"/>
      <w:jc w:val="right"/>
      <w:rPr>
        <w:rFonts w:ascii="Arial" w:hAnsi="Arial" w:cs="Arial"/>
        <w:sz w:val="20"/>
        <w:szCs w:val="20"/>
      </w:rPr>
    </w:pPr>
  </w:p>
  <w:p w:rsidR="00D758BE" w:rsidRDefault="00706B1B" w:rsidP="007263BB">
    <w:pPr>
      <w:pStyle w:val="Encabezado"/>
      <w:jc w:val="right"/>
      <w:rPr>
        <w:rFonts w:ascii="Arial" w:hAnsi="Arial" w:cs="Arial"/>
        <w:sz w:val="20"/>
        <w:szCs w:val="20"/>
      </w:rPr>
    </w:pPr>
  </w:p>
  <w:p w:rsidR="00706042" w:rsidRPr="00563D0F" w:rsidRDefault="00B66524"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B66524"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02</w:t>
    </w:r>
    <w:r w:rsidR="004319C4">
      <w:rPr>
        <w:rFonts w:ascii="Palatino Linotype" w:hAnsi="Palatino Linotype" w:cs="Arial"/>
        <w:b/>
        <w:sz w:val="20"/>
        <w:szCs w:val="20"/>
      </w:rPr>
      <w:t>606</w:t>
    </w:r>
    <w:r>
      <w:rPr>
        <w:rFonts w:ascii="Palatino Linotype" w:hAnsi="Palatino Linotype" w:cs="Arial"/>
        <w:b/>
        <w:sz w:val="20"/>
        <w:szCs w:val="20"/>
      </w:rPr>
      <w:t>/INFOEM/IP/RR/2018</w:t>
    </w:r>
  </w:p>
  <w:p w:rsidR="00D758BE" w:rsidRDefault="00706B1B" w:rsidP="007263BB">
    <w:pPr>
      <w:pStyle w:val="Encabezado"/>
      <w:jc w:val="right"/>
      <w:rPr>
        <w:rFonts w:ascii="Palatino Linotype" w:hAnsi="Palatino Linotype" w:cs="Arial"/>
        <w:sz w:val="20"/>
        <w:szCs w:val="20"/>
      </w:rPr>
    </w:pPr>
  </w:p>
  <w:p w:rsidR="00233AB2" w:rsidRDefault="00706B1B"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03BF"/>
    <w:multiLevelType w:val="hybridMultilevel"/>
    <w:tmpl w:val="C2860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427F07"/>
    <w:multiLevelType w:val="hybridMultilevel"/>
    <w:tmpl w:val="950C53B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C4"/>
    <w:rsid w:val="004319C4"/>
    <w:rsid w:val="00436B46"/>
    <w:rsid w:val="004505AE"/>
    <w:rsid w:val="00706B1B"/>
    <w:rsid w:val="0099474E"/>
    <w:rsid w:val="00A7431B"/>
    <w:rsid w:val="00B262FA"/>
    <w:rsid w:val="00B66524"/>
    <w:rsid w:val="00F517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5ABA3-366C-4216-A68B-2BE876C0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9C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19C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319C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319C4"/>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319C4"/>
    <w:rPr>
      <w:rFonts w:ascii="Times New Roman" w:eastAsia="Times New Roman" w:hAnsi="Times New Roman" w:cs="Times New Roman"/>
      <w:sz w:val="24"/>
      <w:szCs w:val="24"/>
      <w:lang w:val="es-ES" w:eastAsia="es-ES"/>
    </w:rPr>
  </w:style>
  <w:style w:type="paragraph" w:styleId="NormalWeb">
    <w:name w:val="Normal (Web)"/>
    <w:basedOn w:val="Normal"/>
    <w:uiPriority w:val="99"/>
    <w:rsid w:val="004319C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319C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19C4"/>
  </w:style>
  <w:style w:type="character" w:styleId="Hipervnculo">
    <w:name w:val="Hyperlink"/>
    <w:basedOn w:val="Fuentedeprrafopredeter"/>
    <w:uiPriority w:val="99"/>
    <w:unhideWhenUsed/>
    <w:rsid w:val="004319C4"/>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319C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319C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319C4"/>
    <w:rPr>
      <w:sz w:val="20"/>
      <w:szCs w:val="20"/>
    </w:rPr>
  </w:style>
  <w:style w:type="paragraph" w:styleId="Textodeglobo">
    <w:name w:val="Balloon Text"/>
    <w:basedOn w:val="Normal"/>
    <w:link w:val="TextodegloboCar"/>
    <w:uiPriority w:val="99"/>
    <w:semiHidden/>
    <w:unhideWhenUsed/>
    <w:rsid w:val="00F517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1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1232</Words>
  <Characters>6782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2018-09-03T18:07:00Z</cp:lastPrinted>
  <dcterms:created xsi:type="dcterms:W3CDTF">2018-09-03T14:36:00Z</dcterms:created>
  <dcterms:modified xsi:type="dcterms:W3CDTF">2018-09-03T18:16:00Z</dcterms:modified>
</cp:coreProperties>
</file>